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FFAE7" w14:textId="77777777" w:rsidR="00E5596C" w:rsidRPr="00E5596C" w:rsidRDefault="00E5596C" w:rsidP="00E5596C">
      <w:pPr>
        <w:pStyle w:val="TitleAbstractSSPCR"/>
      </w:pPr>
      <w:r w:rsidRPr="00E5596C">
        <w:t>The short and long-term impact of social comparison interventions in social housing contexts:</w:t>
      </w:r>
    </w:p>
    <w:p w14:paraId="1869B70D" w14:textId="2CA22EB1" w:rsidR="001877E3" w:rsidRPr="004E1364" w:rsidRDefault="00E5596C" w:rsidP="001877E3">
      <w:pPr>
        <w:pStyle w:val="AuthorNamesSSPCR"/>
      </w:pPr>
      <w:r>
        <w:t>Nicolas Caballero</w:t>
      </w:r>
      <w:r w:rsidR="001877E3">
        <w:rPr>
          <w:rStyle w:val="FootnoteReference"/>
        </w:rPr>
        <w:footnoteReference w:id="2"/>
      </w:r>
    </w:p>
    <w:p w14:paraId="2DB1FA6E" w14:textId="57D6DF0E" w:rsidR="000A32C2" w:rsidRPr="00E5596C" w:rsidRDefault="003F7A16" w:rsidP="00E5596C">
      <w:pPr>
        <w:pStyle w:val="KeywordsSSPCR"/>
      </w:pPr>
      <w:r w:rsidRPr="00D26175">
        <w:t xml:space="preserve">Keywords: </w:t>
      </w:r>
      <w:r w:rsidR="00E5596C">
        <w:t>Nudges</w:t>
      </w:r>
      <w:r w:rsidR="004E3916">
        <w:t xml:space="preserve">; </w:t>
      </w:r>
      <w:r w:rsidR="00E5596C">
        <w:t>Behaviour change</w:t>
      </w:r>
      <w:r w:rsidR="004E3916">
        <w:t xml:space="preserve">; </w:t>
      </w:r>
      <w:r w:rsidR="00E5596C">
        <w:t>Energy Poverty</w:t>
      </w:r>
      <w:r w:rsidR="004E3916">
        <w:t xml:space="preserve">; </w:t>
      </w:r>
      <w:r w:rsidR="00E5596C">
        <w:t>Behavioural Economics</w:t>
      </w:r>
      <w:r w:rsidR="004E3916">
        <w:t>;</w:t>
      </w:r>
      <w:r w:rsidR="004E3916" w:rsidRPr="004E3916">
        <w:t xml:space="preserve"> </w:t>
      </w:r>
      <w:r w:rsidR="00E5596C">
        <w:t>Social housing</w:t>
      </w:r>
    </w:p>
    <w:p w14:paraId="7908C0E5" w14:textId="52454DEB" w:rsidR="007C0544" w:rsidRPr="00E5596C" w:rsidRDefault="000A32C2" w:rsidP="00272CC6">
      <w:pPr>
        <w:pStyle w:val="AbstractAcknowledgementTextSSPCR"/>
        <w:numPr>
          <w:ilvl w:val="0"/>
          <w:numId w:val="0"/>
        </w:numPr>
      </w:pPr>
      <w:r w:rsidRPr="00E5596C">
        <w:t xml:space="preserve">As highlighted by the recent IPCC Working Group 3 report, demand-side strategies </w:t>
      </w:r>
      <w:r w:rsidR="006C4E52" w:rsidRPr="00E5596C">
        <w:t xml:space="preserve">are </w:t>
      </w:r>
      <w:r w:rsidRPr="00E5596C">
        <w:t>an important cornerstone of climate change mitigation efforts</w:t>
      </w:r>
      <w:r w:rsidR="00461FD0" w:rsidRPr="00E5596C">
        <w:t xml:space="preserve">. Promoting energy conservation in the residential sphere is of key importance for the energy transition, as we move towards a more </w:t>
      </w:r>
      <w:r w:rsidR="00E5596C" w:rsidRPr="00E5596C">
        <w:t>decentralized</w:t>
      </w:r>
      <w:r w:rsidR="00461FD0" w:rsidRPr="00E5596C">
        <w:t xml:space="preserve">, weather-dependent energy system. Against this backdrop, </w:t>
      </w:r>
      <w:r w:rsidR="00E5596C" w:rsidRPr="00E5596C">
        <w:t>behavioral</w:t>
      </w:r>
      <w:r w:rsidR="00461FD0" w:rsidRPr="00E5596C">
        <w:t xml:space="preserve"> economics has emerged as a key discipline to inform </w:t>
      </w:r>
      <w:r w:rsidR="00F0559E" w:rsidRPr="00E5596C">
        <w:t>policymaking</w:t>
      </w:r>
      <w:r w:rsidR="00461FD0" w:rsidRPr="00E5596C">
        <w:t xml:space="preserve">. Literature on </w:t>
      </w:r>
      <w:r w:rsidR="00C263D6" w:rsidRPr="00E5596C">
        <w:t xml:space="preserve">“green </w:t>
      </w:r>
      <w:r w:rsidR="00461FD0" w:rsidRPr="00E5596C">
        <w:t>nudges</w:t>
      </w:r>
      <w:r w:rsidR="00C263D6" w:rsidRPr="00E5596C">
        <w:t xml:space="preserve">”, defined as non-fiscal, non-coercive </w:t>
      </w:r>
      <w:r w:rsidR="00E5596C" w:rsidRPr="00E5596C">
        <w:t>behavioral</w:t>
      </w:r>
      <w:r w:rsidR="00C263D6" w:rsidRPr="00E5596C">
        <w:t xml:space="preserve"> interventions that promote sustainable consumption paths, has informed several successful interventions that promote conservation efforts from households while being very cost-effective</w:t>
      </w:r>
      <w:r w:rsidR="00C361A1" w:rsidRPr="00E5596C">
        <w:t xml:space="preserve"> and scalable</w:t>
      </w:r>
      <w:r w:rsidR="00C263D6" w:rsidRPr="00E5596C">
        <w:t xml:space="preserve">. However, recent literature has </w:t>
      </w:r>
      <w:r w:rsidR="002468B3" w:rsidRPr="00E5596C">
        <w:t xml:space="preserve">stressed </w:t>
      </w:r>
      <w:r w:rsidR="00C263D6" w:rsidRPr="00E5596C">
        <w:t>the context-dependency of these tools,</w:t>
      </w:r>
      <w:r w:rsidR="002468B3" w:rsidRPr="00E5596C">
        <w:t xml:space="preserve"> showing evidence that their potential for mitigation may be limited</w:t>
      </w:r>
      <w:r w:rsidR="00C263D6" w:rsidRPr="00E5596C">
        <w:t xml:space="preserve"> in </w:t>
      </w:r>
      <w:r w:rsidR="002468B3" w:rsidRPr="00E5596C">
        <w:t xml:space="preserve">low consumption contexts. Additionally, </w:t>
      </w:r>
      <w:r w:rsidR="00272CC6">
        <w:t>the</w:t>
      </w:r>
      <w:r w:rsidR="003E53FC" w:rsidRPr="00E5596C">
        <w:t xml:space="preserve"> literature highlights the importance of assessing nudges not only in terms of their effectiveness in promoting the uptake of the desired </w:t>
      </w:r>
      <w:r w:rsidR="00E5596C" w:rsidRPr="00E5596C">
        <w:t>behavior</w:t>
      </w:r>
      <w:r w:rsidR="003E53FC" w:rsidRPr="00E5596C">
        <w:t>, but also their ethical and justice implications</w:t>
      </w:r>
      <w:r w:rsidR="002468B3" w:rsidRPr="00E5596C">
        <w:t>.</w:t>
      </w:r>
    </w:p>
    <w:p w14:paraId="412269CE" w14:textId="77777777" w:rsidR="00E5596C" w:rsidRDefault="00E5596C" w:rsidP="00272CC6">
      <w:pPr>
        <w:pStyle w:val="AbstractAcknowledgementTextSSPCR"/>
        <w:numPr>
          <w:ilvl w:val="0"/>
          <w:numId w:val="0"/>
        </w:numPr>
      </w:pPr>
    </w:p>
    <w:p w14:paraId="70D6C76E" w14:textId="260C4E3E" w:rsidR="007C0544" w:rsidRPr="00E5596C" w:rsidRDefault="007C0544" w:rsidP="00272CC6">
      <w:pPr>
        <w:pStyle w:val="AbstractAcknowledgementTextSSPCR"/>
        <w:numPr>
          <w:ilvl w:val="0"/>
          <w:numId w:val="0"/>
        </w:numPr>
      </w:pPr>
      <w:r w:rsidRPr="00E5596C">
        <w:t>In this study, I take an experimental approach to begin shedding light on these issues. I report the results of a</w:t>
      </w:r>
      <w:r w:rsidR="00F0559E" w:rsidRPr="00E5596C">
        <w:t xml:space="preserve"> field </w:t>
      </w:r>
      <w:r w:rsidRPr="00E5596C">
        <w:t>experiment carried out in Bolzano, Italy, where a popular type of nudge (social comparison intervention) was tested over the course of 12 months in several social housing districts. The context-dependency of this tool is assessed with relation to (</w:t>
      </w:r>
      <w:proofErr w:type="spellStart"/>
      <w:r w:rsidRPr="00E5596C">
        <w:t>i</w:t>
      </w:r>
      <w:proofErr w:type="spellEnd"/>
      <w:r w:rsidRPr="00E5596C">
        <w:t xml:space="preserve">) its overall effectiveness in promoting energy conservation, (ii) its long-term persistence and (iii) its </w:t>
      </w:r>
      <w:r w:rsidR="00F0559E" w:rsidRPr="00E5596C">
        <w:t xml:space="preserve">specific </w:t>
      </w:r>
      <w:r w:rsidR="00E5596C" w:rsidRPr="00E5596C">
        <w:t>behavioral</w:t>
      </w:r>
      <w:r w:rsidR="00F0559E" w:rsidRPr="00E5596C">
        <w:t xml:space="preserve"> implications. Finally, I discuss how these interventions, if effective in contexts of vulnerability, could contribute to the tackling of energy poverty</w:t>
      </w:r>
      <w:r w:rsidR="00C361A1" w:rsidRPr="00E5596C">
        <w:t xml:space="preserve">. I argue that </w:t>
      </w:r>
      <w:r w:rsidR="00503CB8" w:rsidRPr="00E5596C">
        <w:t xml:space="preserve">the adoption of </w:t>
      </w:r>
      <w:r w:rsidR="003E53FC" w:rsidRPr="00E5596C">
        <w:t>these</w:t>
      </w:r>
      <w:r w:rsidR="00C361A1" w:rsidRPr="00E5596C">
        <w:t xml:space="preserve"> tools </w:t>
      </w:r>
      <w:r w:rsidR="003E53FC" w:rsidRPr="00E5596C">
        <w:t>may still be desirable in the absence of high</w:t>
      </w:r>
      <w:r w:rsidR="00C361A1" w:rsidRPr="00E5596C">
        <w:t xml:space="preserve"> mitigation potential</w:t>
      </w:r>
      <w:r w:rsidR="003E53FC" w:rsidRPr="00E5596C">
        <w:t xml:space="preserve"> as levers </w:t>
      </w:r>
      <w:r w:rsidR="00C361A1" w:rsidRPr="00E5596C">
        <w:t>to support a just energy transition</w:t>
      </w:r>
      <w:r w:rsidR="003E53FC" w:rsidRPr="00E5596C">
        <w:t>, and as useful complements to technical innovations (i.e.: energy efficiency retrofits).</w:t>
      </w:r>
    </w:p>
    <w:p w14:paraId="59A795AB" w14:textId="77777777" w:rsidR="00E5596C" w:rsidRPr="00E5596C" w:rsidRDefault="00E5596C" w:rsidP="001877E3">
      <w:pPr>
        <w:rPr>
          <w:lang w:val="en-GB"/>
        </w:rPr>
      </w:pPr>
    </w:p>
    <w:sectPr w:rsidR="00E5596C" w:rsidRPr="00E5596C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79EE9" w14:textId="77777777" w:rsidR="009065EA" w:rsidRDefault="009065EA" w:rsidP="008279F5">
      <w:pPr>
        <w:spacing w:after="0"/>
      </w:pPr>
      <w:r>
        <w:separator/>
      </w:r>
    </w:p>
  </w:endnote>
  <w:endnote w:type="continuationSeparator" w:id="0">
    <w:p w14:paraId="784BB427" w14:textId="77777777" w:rsidR="009065EA" w:rsidRDefault="009065EA" w:rsidP="008279F5">
      <w:pPr>
        <w:spacing w:after="0"/>
      </w:pPr>
      <w:r>
        <w:continuationSeparator/>
      </w:r>
    </w:p>
  </w:endnote>
  <w:endnote w:type="continuationNotice" w:id="1">
    <w:p w14:paraId="5FD0C043" w14:textId="77777777" w:rsidR="009065EA" w:rsidRDefault="009065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CE4E" w14:textId="77777777" w:rsidR="009065EA" w:rsidRDefault="009065EA" w:rsidP="008279F5">
      <w:pPr>
        <w:spacing w:after="0"/>
      </w:pPr>
      <w:r>
        <w:separator/>
      </w:r>
    </w:p>
  </w:footnote>
  <w:footnote w:type="continuationSeparator" w:id="0">
    <w:p w14:paraId="6ACD782E" w14:textId="77777777" w:rsidR="009065EA" w:rsidRDefault="009065EA" w:rsidP="008279F5">
      <w:pPr>
        <w:spacing w:after="0"/>
      </w:pPr>
      <w:r>
        <w:continuationSeparator/>
      </w:r>
    </w:p>
  </w:footnote>
  <w:footnote w:type="continuationNotice" w:id="1">
    <w:p w14:paraId="79C57368" w14:textId="77777777" w:rsidR="009065EA" w:rsidRDefault="009065EA">
      <w:pPr>
        <w:spacing w:after="0"/>
      </w:pPr>
    </w:p>
  </w:footnote>
  <w:footnote w:id="2">
    <w:p w14:paraId="05D0EE84" w14:textId="614EACB6" w:rsidR="00C25372" w:rsidRPr="00226F34" w:rsidRDefault="00C25372" w:rsidP="001877E3">
      <w:pPr>
        <w:pStyle w:val="FootnoteText"/>
        <w:contextualSpacing/>
        <w:rPr>
          <w:sz w:val="16"/>
          <w:szCs w:val="16"/>
        </w:rPr>
      </w:pPr>
      <w:r w:rsidRPr="001877E3">
        <w:rPr>
          <w:rStyle w:val="FootnoteReference"/>
          <w:sz w:val="16"/>
          <w:szCs w:val="16"/>
        </w:rPr>
        <w:footnoteRef/>
      </w:r>
      <w:r w:rsidRPr="00226F34">
        <w:rPr>
          <w:sz w:val="16"/>
          <w:szCs w:val="16"/>
        </w:rPr>
        <w:t xml:space="preserve"> </w:t>
      </w:r>
      <w:proofErr w:type="spellStart"/>
      <w:r w:rsidR="00E5596C" w:rsidRPr="00226F34">
        <w:rPr>
          <w:sz w:val="16"/>
          <w:szCs w:val="16"/>
        </w:rPr>
        <w:t>Eurac</w:t>
      </w:r>
      <w:proofErr w:type="spellEnd"/>
      <w:r w:rsidR="00E5596C" w:rsidRPr="00226F34">
        <w:rPr>
          <w:sz w:val="16"/>
          <w:szCs w:val="16"/>
        </w:rPr>
        <w:t xml:space="preserve"> </w:t>
      </w:r>
      <w:proofErr w:type="spellStart"/>
      <w:r w:rsidR="00E5596C" w:rsidRPr="00226F34">
        <w:rPr>
          <w:sz w:val="16"/>
          <w:szCs w:val="16"/>
        </w:rPr>
        <w:t>Research</w:t>
      </w:r>
      <w:proofErr w:type="spellEnd"/>
      <w:r w:rsidRPr="00226F34">
        <w:rPr>
          <w:sz w:val="16"/>
          <w:szCs w:val="16"/>
        </w:rPr>
        <w:t xml:space="preserve">, </w:t>
      </w:r>
      <w:r w:rsidR="00E5596C" w:rsidRPr="00226F34">
        <w:rPr>
          <w:sz w:val="16"/>
          <w:szCs w:val="16"/>
        </w:rPr>
        <w:t>Via Alessandro Volta 13</w:t>
      </w:r>
      <w:r w:rsidR="00226F34" w:rsidRPr="00226F34">
        <w:rPr>
          <w:sz w:val="16"/>
          <w:szCs w:val="16"/>
        </w:rPr>
        <w:t>/A, 39100</w:t>
      </w:r>
      <w:r w:rsidRPr="00226F34">
        <w:rPr>
          <w:sz w:val="16"/>
          <w:szCs w:val="16"/>
        </w:rPr>
        <w:t xml:space="preserve">, </w:t>
      </w:r>
      <w:r w:rsidR="00226F34" w:rsidRPr="00226F34">
        <w:rPr>
          <w:sz w:val="16"/>
          <w:szCs w:val="16"/>
        </w:rPr>
        <w:t>Nicolas.caballero</w:t>
      </w:r>
      <w:r w:rsidRPr="00226F34">
        <w:rPr>
          <w:sz w:val="16"/>
          <w:szCs w:val="16"/>
        </w:rPr>
        <w:t>@</w:t>
      </w:r>
      <w:r w:rsidR="00226F34" w:rsidRPr="00226F34">
        <w:rPr>
          <w:sz w:val="16"/>
          <w:szCs w:val="16"/>
        </w:rPr>
        <w:t>eurac.edu.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546644">
    <w:abstractNumId w:val="2"/>
  </w:num>
  <w:num w:numId="2" w16cid:durableId="966859400">
    <w:abstractNumId w:val="19"/>
  </w:num>
  <w:num w:numId="3" w16cid:durableId="1692947749">
    <w:abstractNumId w:val="13"/>
  </w:num>
  <w:num w:numId="4" w16cid:durableId="2083986818">
    <w:abstractNumId w:val="9"/>
  </w:num>
  <w:num w:numId="5" w16cid:durableId="913123518">
    <w:abstractNumId w:val="4"/>
  </w:num>
  <w:num w:numId="6" w16cid:durableId="138763697">
    <w:abstractNumId w:val="5"/>
  </w:num>
  <w:num w:numId="7" w16cid:durableId="1841962621">
    <w:abstractNumId w:val="7"/>
  </w:num>
  <w:num w:numId="8" w16cid:durableId="8531156">
    <w:abstractNumId w:val="31"/>
  </w:num>
  <w:num w:numId="9" w16cid:durableId="815804572">
    <w:abstractNumId w:val="27"/>
  </w:num>
  <w:num w:numId="10" w16cid:durableId="1795370879">
    <w:abstractNumId w:val="21"/>
  </w:num>
  <w:num w:numId="11" w16cid:durableId="1950236024">
    <w:abstractNumId w:val="10"/>
  </w:num>
  <w:num w:numId="12" w16cid:durableId="1851411367">
    <w:abstractNumId w:val="39"/>
  </w:num>
  <w:num w:numId="13" w16cid:durableId="1277565919">
    <w:abstractNumId w:val="32"/>
  </w:num>
  <w:num w:numId="14" w16cid:durableId="367223532">
    <w:abstractNumId w:val="23"/>
  </w:num>
  <w:num w:numId="15" w16cid:durableId="439878037">
    <w:abstractNumId w:val="40"/>
  </w:num>
  <w:num w:numId="16" w16cid:durableId="975182291">
    <w:abstractNumId w:val="33"/>
  </w:num>
  <w:num w:numId="17" w16cid:durableId="1431195006">
    <w:abstractNumId w:val="29"/>
  </w:num>
  <w:num w:numId="18" w16cid:durableId="1233076041">
    <w:abstractNumId w:val="17"/>
  </w:num>
  <w:num w:numId="19" w16cid:durableId="1743141817">
    <w:abstractNumId w:val="25"/>
  </w:num>
  <w:num w:numId="20" w16cid:durableId="1346251330">
    <w:abstractNumId w:val="16"/>
  </w:num>
  <w:num w:numId="21" w16cid:durableId="477891218">
    <w:abstractNumId w:val="3"/>
  </w:num>
  <w:num w:numId="22" w16cid:durableId="1337687981">
    <w:abstractNumId w:val="35"/>
  </w:num>
  <w:num w:numId="23" w16cid:durableId="642780910">
    <w:abstractNumId w:val="6"/>
  </w:num>
  <w:num w:numId="24" w16cid:durableId="1392386884">
    <w:abstractNumId w:val="36"/>
  </w:num>
  <w:num w:numId="25" w16cid:durableId="1707413573">
    <w:abstractNumId w:val="38"/>
  </w:num>
  <w:num w:numId="26" w16cid:durableId="867521861">
    <w:abstractNumId w:val="11"/>
  </w:num>
  <w:num w:numId="27" w16cid:durableId="776170799">
    <w:abstractNumId w:val="8"/>
  </w:num>
  <w:num w:numId="28" w16cid:durableId="188417099">
    <w:abstractNumId w:val="28"/>
  </w:num>
  <w:num w:numId="29" w16cid:durableId="300187308">
    <w:abstractNumId w:val="26"/>
  </w:num>
  <w:num w:numId="30" w16cid:durableId="418530089">
    <w:abstractNumId w:val="37"/>
  </w:num>
  <w:num w:numId="31" w16cid:durableId="674843520">
    <w:abstractNumId w:val="15"/>
  </w:num>
  <w:num w:numId="32" w16cid:durableId="2083940496">
    <w:abstractNumId w:val="1"/>
  </w:num>
  <w:num w:numId="33" w16cid:durableId="1603369502">
    <w:abstractNumId w:val="34"/>
  </w:num>
  <w:num w:numId="34" w16cid:durableId="328406832">
    <w:abstractNumId w:val="20"/>
  </w:num>
  <w:num w:numId="35" w16cid:durableId="896359147">
    <w:abstractNumId w:val="30"/>
  </w:num>
  <w:num w:numId="36" w16cid:durableId="397441518">
    <w:abstractNumId w:val="14"/>
  </w:num>
  <w:num w:numId="37" w16cid:durableId="52436221">
    <w:abstractNumId w:val="0"/>
  </w:num>
  <w:num w:numId="38" w16cid:durableId="1038043951">
    <w:abstractNumId w:val="24"/>
  </w:num>
  <w:num w:numId="39" w16cid:durableId="687633674">
    <w:abstractNumId w:val="22"/>
  </w:num>
  <w:num w:numId="40" w16cid:durableId="1223714665">
    <w:abstractNumId w:val="18"/>
  </w:num>
  <w:num w:numId="41" w16cid:durableId="964430251">
    <w:abstractNumId w:val="24"/>
  </w:num>
  <w:num w:numId="42" w16cid:durableId="1399667846">
    <w:abstractNumId w:val="24"/>
  </w:num>
  <w:num w:numId="43" w16cid:durableId="1691488668">
    <w:abstractNumId w:val="12"/>
  </w:num>
  <w:num w:numId="44" w16cid:durableId="1571692698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32C2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574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18DE"/>
    <w:rsid w:val="00225481"/>
    <w:rsid w:val="0022568B"/>
    <w:rsid w:val="0022671D"/>
    <w:rsid w:val="00226F34"/>
    <w:rsid w:val="00236FD5"/>
    <w:rsid w:val="00237D17"/>
    <w:rsid w:val="0024044C"/>
    <w:rsid w:val="00240ED2"/>
    <w:rsid w:val="00241EE2"/>
    <w:rsid w:val="002449EE"/>
    <w:rsid w:val="002468B3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2CC6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53FC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1FD0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4F636A"/>
    <w:rsid w:val="0050163F"/>
    <w:rsid w:val="00503CB8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4E52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0544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065EA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63D6"/>
    <w:rsid w:val="00C27136"/>
    <w:rsid w:val="00C32E5A"/>
    <w:rsid w:val="00C334DB"/>
    <w:rsid w:val="00C3571F"/>
    <w:rsid w:val="00C361A1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5596C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559E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CDB342-06F2-49EB-91BD-1C80483B0F17}"/>
</file>

<file path=customXml/itemProps4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2186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Caballero Nicolas</cp:lastModifiedBy>
  <cp:revision>3</cp:revision>
  <cp:lastPrinted>2017-03-13T18:23:00Z</cp:lastPrinted>
  <dcterms:created xsi:type="dcterms:W3CDTF">2022-04-08T09:20:00Z</dcterms:created>
  <dcterms:modified xsi:type="dcterms:W3CDTF">2022-04-08T09:22:00Z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